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195F2" w14:textId="09BDC4A2" w:rsidR="006A1A35" w:rsidRPr="00430305" w:rsidRDefault="00000000" w:rsidP="00430305">
      <w:pPr>
        <w:pStyle w:val="a3"/>
        <w:spacing w:before="99" w:line="206" w:lineRule="auto"/>
        <w:ind w:left="0" w:right="108"/>
        <w:jc w:val="both"/>
        <w:rPr>
          <w:rFonts w:ascii="Minion Pro" w:hAnsi="Minion Pro" w:cs="Times New Roman" w:hint="eastAsia"/>
          <w:bCs/>
          <w:sz w:val="18"/>
          <w:szCs w:val="18"/>
        </w:rPr>
      </w:pPr>
      <w:r>
        <w:rPr>
          <w:rFonts w:ascii="Minion Pro" w:eastAsia="宋体" w:hAnsi="Minion Pro" w:cs="Times New Roman"/>
          <w:bCs/>
          <w:sz w:val="18"/>
          <w:szCs w:val="18"/>
        </w:rPr>
        <w:t>Fig</w:t>
      </w:r>
      <w:r>
        <w:rPr>
          <w:rFonts w:ascii="Minion Pro" w:eastAsia="宋体" w:hAnsi="Minion Pro" w:cs="Times New Roman" w:hint="eastAsia"/>
          <w:bCs/>
          <w:sz w:val="18"/>
          <w:szCs w:val="18"/>
          <w:lang w:eastAsia="zh-CN"/>
        </w:rPr>
        <w:t>ure</w:t>
      </w:r>
      <w:r>
        <w:rPr>
          <w:rFonts w:ascii="Minion Pro" w:eastAsia="宋体" w:hAnsi="Minion Pro" w:cs="Times New Roman"/>
          <w:bCs/>
          <w:sz w:val="18"/>
          <w:szCs w:val="18"/>
        </w:rPr>
        <w:t>. S1.</w:t>
      </w:r>
      <w:r>
        <w:rPr>
          <w:rFonts w:ascii="Minion Pro" w:hAnsi="Minion Pro" w:cs="Times New Roman"/>
          <w:bCs/>
          <w:sz w:val="18"/>
          <w:szCs w:val="18"/>
        </w:rPr>
        <w:t xml:space="preserve"> Role of lncRNA AFAP1-AS1 in cervical cancer cell cycle and stemness. (A) Flow cytometry was used to identify the cell cycle after </w:t>
      </w:r>
      <w:r>
        <w:rPr>
          <w:rFonts w:ascii="Minion Pro" w:eastAsia="宋体" w:hAnsi="Minion Pro" w:cs="Times New Roman"/>
          <w:sz w:val="18"/>
          <w:szCs w:val="18"/>
        </w:rPr>
        <w:t>HT-3 and SW756 cells were overexpressed with AFAP1-AS1.</w:t>
      </w:r>
      <w:r>
        <w:rPr>
          <w:rFonts w:ascii="Minion Pro" w:eastAsia="Arial Unicode MS" w:hAnsi="Minion Pro" w:cs="Times New Roman"/>
          <w:sz w:val="18"/>
          <w:szCs w:val="18"/>
        </w:rPr>
        <w:t xml:space="preserve"> (B) The relative protein level of NANOG and SOX2 was examined through western blot </w:t>
      </w:r>
      <w:r>
        <w:rPr>
          <w:rFonts w:ascii="Minion Pro" w:hAnsi="Minion Pro" w:cs="Times New Roman"/>
          <w:bCs/>
          <w:sz w:val="18"/>
          <w:szCs w:val="18"/>
        </w:rPr>
        <w:t xml:space="preserve">after </w:t>
      </w:r>
      <w:r>
        <w:rPr>
          <w:rFonts w:ascii="Minion Pro" w:eastAsia="宋体" w:hAnsi="Minion Pro" w:cs="Times New Roman"/>
          <w:sz w:val="18"/>
          <w:szCs w:val="18"/>
        </w:rPr>
        <w:t xml:space="preserve">HT-3 and SW756 cells were overexpressed with AFAP1-AS1. (C) The HT-3 and SW756 cell growth was monitored on days 2, 4, and 6 following the overexpression of </w:t>
      </w:r>
      <w:r>
        <w:rPr>
          <w:rFonts w:ascii="Minion Pro" w:hAnsi="Minion Pro" w:cs="Times New Roman"/>
          <w:bCs/>
          <w:sz w:val="18"/>
          <w:szCs w:val="18"/>
        </w:rPr>
        <w:t xml:space="preserve">AFAP1-AS1 as well as injection of MK-2206. </w:t>
      </w:r>
      <w:r>
        <w:rPr>
          <w:rFonts w:ascii="Minion Pro" w:eastAsia="宋体" w:hAnsi="Minion Pro" w:cs="Times New Roman"/>
          <w:sz w:val="18"/>
          <w:szCs w:val="18"/>
        </w:rPr>
        <w:t>***</w:t>
      </w:r>
      <w:r>
        <w:rPr>
          <w:rFonts w:ascii="Minion Pro" w:eastAsia="宋体" w:hAnsi="Minion Pro" w:cs="Times New Roman"/>
          <w:i/>
          <w:iCs/>
          <w:sz w:val="18"/>
          <w:szCs w:val="18"/>
        </w:rPr>
        <w:t>p</w:t>
      </w:r>
      <w:r>
        <w:rPr>
          <w:rFonts w:ascii="Minion Pro" w:eastAsia="Arial Unicode MS" w:hAnsi="Minion Pro" w:cs="Times New Roman"/>
          <w:sz w:val="18"/>
          <w:szCs w:val="18"/>
        </w:rPr>
        <w:t xml:space="preserve">&lt;0.001. </w:t>
      </w:r>
    </w:p>
    <w:p w14:paraId="062219D1" w14:textId="77777777" w:rsidR="006A1A35" w:rsidRDefault="00000000">
      <w:pPr>
        <w:pStyle w:val="a3"/>
        <w:spacing w:before="99" w:line="206" w:lineRule="auto"/>
        <w:ind w:left="0" w:right="108"/>
        <w:jc w:val="both"/>
        <w:rPr>
          <w:rFonts w:ascii="Minion Pro" w:hAnsi="Minion Pro" w:cs="Times New Roman"/>
        </w:rPr>
      </w:pPr>
      <w:r>
        <w:rPr>
          <w:rFonts w:ascii="Minion Pro" w:eastAsia="宋体" w:hAnsi="Minion Pro" w:cs="Times New Roman"/>
          <w:bCs/>
          <w:sz w:val="18"/>
          <w:szCs w:val="18"/>
        </w:rPr>
        <w:t>Fig</w:t>
      </w:r>
      <w:r>
        <w:rPr>
          <w:rFonts w:ascii="Minion Pro" w:eastAsia="宋体" w:hAnsi="Minion Pro" w:cs="Times New Roman" w:hint="eastAsia"/>
          <w:bCs/>
          <w:sz w:val="18"/>
          <w:szCs w:val="18"/>
          <w:lang w:eastAsia="zh-CN"/>
        </w:rPr>
        <w:t>ure</w:t>
      </w:r>
      <w:r>
        <w:rPr>
          <w:rFonts w:ascii="Minion Pro" w:eastAsia="宋体" w:hAnsi="Minion Pro" w:cs="Times New Roman"/>
          <w:bCs/>
          <w:sz w:val="18"/>
          <w:szCs w:val="18"/>
        </w:rPr>
        <w:t>. S2.</w:t>
      </w:r>
      <w:r>
        <w:rPr>
          <w:rFonts w:ascii="Minion Pro" w:hAnsi="Minion Pro" w:cs="Times New Roman"/>
          <w:bCs/>
          <w:sz w:val="18"/>
          <w:szCs w:val="18"/>
        </w:rPr>
        <w:t xml:space="preserve"> LncRNA AFAP1-AS1 promoted the development of cervical cancer cells.</w:t>
      </w:r>
      <w:r>
        <w:rPr>
          <w:rFonts w:ascii="Minion Pro" w:hAnsi="Minion Pro" w:cs="Times New Roman"/>
          <w:b/>
          <w:sz w:val="18"/>
          <w:szCs w:val="18"/>
        </w:rPr>
        <w:t xml:space="preserve"> </w:t>
      </w:r>
      <w:r>
        <w:rPr>
          <w:rFonts w:ascii="Minion Pro" w:eastAsia="宋体" w:hAnsi="Minion Pro" w:cs="Times New Roman"/>
          <w:sz w:val="18"/>
          <w:szCs w:val="18"/>
        </w:rPr>
        <w:t xml:space="preserve">(A) Cell growth was detected by the MTT experiment every two days in </w:t>
      </w:r>
      <w:proofErr w:type="spellStart"/>
      <w:r>
        <w:rPr>
          <w:rFonts w:ascii="Minion Pro" w:eastAsia="宋体" w:hAnsi="Minion Pro" w:cs="Times New Roman"/>
          <w:sz w:val="18"/>
          <w:szCs w:val="18"/>
        </w:rPr>
        <w:t>SiHa</w:t>
      </w:r>
      <w:proofErr w:type="spellEnd"/>
      <w:r>
        <w:rPr>
          <w:rFonts w:ascii="Minion Pro" w:eastAsia="宋体" w:hAnsi="Minion Pro" w:cs="Times New Roman"/>
          <w:sz w:val="18"/>
          <w:szCs w:val="18"/>
        </w:rPr>
        <w:t xml:space="preserve"> cells. (B and C) The colony formation ability of cells in different groups and the relative cell confluence was shown. (D-F) A nude mice model of cervical cancer was built by injecting with </w:t>
      </w:r>
      <w:proofErr w:type="spellStart"/>
      <w:r>
        <w:rPr>
          <w:rFonts w:ascii="Minion Pro" w:eastAsia="宋体" w:hAnsi="Minion Pro" w:cs="Times New Roman"/>
          <w:sz w:val="18"/>
          <w:szCs w:val="18"/>
        </w:rPr>
        <w:t>sh</w:t>
      </w:r>
      <w:proofErr w:type="spellEnd"/>
      <w:r>
        <w:rPr>
          <w:rFonts w:ascii="Minion Pro" w:eastAsia="宋体" w:hAnsi="Minion Pro" w:cs="Times New Roman"/>
          <w:sz w:val="18"/>
          <w:szCs w:val="18"/>
        </w:rPr>
        <w:t xml:space="preserve">-control, AFAP1-AS1-1, and AFAP1-AS1-2 pretreated </w:t>
      </w:r>
      <w:proofErr w:type="spellStart"/>
      <w:r>
        <w:rPr>
          <w:rFonts w:ascii="Minion Pro" w:eastAsia="宋体" w:hAnsi="Minion Pro" w:cs="Times New Roman"/>
          <w:sz w:val="18"/>
          <w:szCs w:val="18"/>
        </w:rPr>
        <w:t>SiHa</w:t>
      </w:r>
      <w:proofErr w:type="spellEnd"/>
      <w:r>
        <w:rPr>
          <w:rFonts w:ascii="Minion Pro" w:eastAsia="宋体" w:hAnsi="Minion Pro" w:cs="Times New Roman"/>
          <w:sz w:val="18"/>
          <w:szCs w:val="18"/>
        </w:rPr>
        <w:t xml:space="preserve"> cells (2 × 10</w:t>
      </w:r>
      <w:r>
        <w:rPr>
          <w:rFonts w:ascii="Minion Pro" w:eastAsia="宋体" w:hAnsi="Minion Pro" w:cs="Times New Roman"/>
          <w:sz w:val="18"/>
          <w:szCs w:val="18"/>
          <w:vertAlign w:val="superscript"/>
        </w:rPr>
        <w:t>6</w:t>
      </w:r>
      <w:r>
        <w:rPr>
          <w:rFonts w:ascii="Minion Pro" w:eastAsia="宋体" w:hAnsi="Minion Pro" w:cs="Times New Roman"/>
          <w:sz w:val="18"/>
          <w:szCs w:val="18"/>
        </w:rPr>
        <w:t>).</w:t>
      </w:r>
      <w:r>
        <w:rPr>
          <w:rFonts w:ascii="Minion Pro" w:eastAsia="宋体" w:hAnsi="Minion Pro" w:cs="Times New Roman"/>
        </w:rPr>
        <w:t xml:space="preserve"> </w:t>
      </w:r>
      <w:r>
        <w:rPr>
          <w:rFonts w:ascii="Minion Pro" w:eastAsia="宋体" w:hAnsi="Minion Pro" w:cs="Times New Roman"/>
          <w:sz w:val="18"/>
          <w:szCs w:val="18"/>
        </w:rPr>
        <w:t>Tumor volume curve (D), representing tumor images (E) and tumor</w:t>
      </w:r>
      <w:r>
        <w:rPr>
          <w:rFonts w:ascii="Minion Pro" w:eastAsia="宋体" w:hAnsi="Minion Pro" w:cs="Times New Roman"/>
        </w:rPr>
        <w:t xml:space="preserve"> </w:t>
      </w:r>
      <w:r>
        <w:rPr>
          <w:rFonts w:ascii="Minion Pro" w:eastAsia="宋体" w:hAnsi="Minion Pro" w:cs="Times New Roman"/>
          <w:sz w:val="18"/>
          <w:szCs w:val="18"/>
        </w:rPr>
        <w:t>weight (F) were shown. ***</w:t>
      </w:r>
      <w:r>
        <w:rPr>
          <w:rFonts w:ascii="Minion Pro" w:eastAsia="宋体" w:hAnsi="Minion Pro" w:cs="Times New Roman"/>
          <w:i/>
          <w:iCs/>
          <w:sz w:val="18"/>
          <w:szCs w:val="18"/>
        </w:rPr>
        <w:t>p</w:t>
      </w:r>
      <w:r>
        <w:rPr>
          <w:rFonts w:ascii="Minion Pro" w:eastAsia="Arial Unicode MS" w:hAnsi="Minion Pro" w:cs="Times New Roman"/>
          <w:sz w:val="18"/>
          <w:szCs w:val="18"/>
        </w:rPr>
        <w:t xml:space="preserve">&lt;0.001. </w:t>
      </w:r>
    </w:p>
    <w:p w14:paraId="6545238B" w14:textId="77777777" w:rsidR="006A1A35" w:rsidRDefault="006A1A35">
      <w:pPr>
        <w:rPr>
          <w:rFonts w:hint="eastAsia"/>
        </w:rPr>
      </w:pPr>
    </w:p>
    <w:sectPr w:rsidR="006A1A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 Pro">
    <w:altName w:val="Cambria Math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8B25B9"/>
    <w:rsid w:val="001739B0"/>
    <w:rsid w:val="001D1747"/>
    <w:rsid w:val="00430305"/>
    <w:rsid w:val="00645FF5"/>
    <w:rsid w:val="006A1A35"/>
    <w:rsid w:val="008B25B9"/>
    <w:rsid w:val="008D7F2D"/>
    <w:rsid w:val="009307E0"/>
    <w:rsid w:val="00B77199"/>
    <w:rsid w:val="00D21106"/>
    <w:rsid w:val="00D34A6F"/>
    <w:rsid w:val="00E95814"/>
    <w:rsid w:val="1C485D0F"/>
    <w:rsid w:val="217A696B"/>
    <w:rsid w:val="269229A8"/>
    <w:rsid w:val="2AEF3F25"/>
    <w:rsid w:val="52B7716F"/>
    <w:rsid w:val="56FA69FA"/>
    <w:rsid w:val="685E3F8D"/>
    <w:rsid w:val="6C6A2010"/>
    <w:rsid w:val="7C3D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307C8"/>
  <w15:docId w15:val="{E60E46EE-CC21-498B-9902-222AFF57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PMingLiU" w:eastAsia="PMingLiU" w:hAnsi="PMingLiU" w:cs="PMingLiU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ind w:left="103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正文文本 字符"/>
    <w:basedOn w:val="a0"/>
    <w:link w:val="a3"/>
    <w:uiPriority w:val="1"/>
    <w:rPr>
      <w:rFonts w:ascii="PMingLiU" w:eastAsia="PMingLiU" w:hAnsi="PMingLiU" w:cs="PMingLiU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TSP TSP</cp:lastModifiedBy>
  <cp:revision>7</cp:revision>
  <dcterms:created xsi:type="dcterms:W3CDTF">2024-06-30T03:37:00Z</dcterms:created>
  <dcterms:modified xsi:type="dcterms:W3CDTF">2024-07-26T07:05:00Z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B9941ADDDEBF4D4193C600F3A8EBCE0A_12</vt:lpwstr>
  </property>
</Properties>
</file>